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5C9B">
      <w:pPr>
        <w:widowControl/>
        <w:spacing w:line="560" w:lineRule="exact"/>
        <w:jc w:val="left"/>
        <w:rPr>
          <w:rFonts w:hint="eastAsia" w:ascii="黑体" w:hAnsi="黑体" w:eastAsia="黑体" w:cs="Times New Roman"/>
          <w:sz w:val="32"/>
          <w:szCs w:val="32"/>
          <w:lang w:val="en-US" w:eastAsia="zh-CN"/>
        </w:rPr>
      </w:pPr>
      <w:bookmarkStart w:id="0" w:name="_GoBack"/>
      <w:bookmarkEnd w:id="0"/>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14:paraId="26F62FDF">
      <w:pPr>
        <w:pageBreakBefore w:val="0"/>
        <w:widowControl w:val="0"/>
        <w:kinsoku/>
        <w:wordWrap/>
        <w:overflowPunct/>
        <w:topLinePunct w:val="0"/>
        <w:autoSpaceDE/>
        <w:autoSpaceDN/>
        <w:bidi w:val="0"/>
        <w:adjustRightInd/>
        <w:spacing w:line="560" w:lineRule="exact"/>
        <w:jc w:val="both"/>
        <w:textAlignment w:val="auto"/>
        <w:rPr>
          <w:rFonts w:hint="eastAsia" w:ascii="华文中宋" w:hAnsi="华文中宋" w:eastAsia="华文中宋" w:cs="华文中宋"/>
          <w:b/>
          <w:bCs/>
          <w:sz w:val="36"/>
          <w:szCs w:val="36"/>
        </w:rPr>
      </w:pPr>
    </w:p>
    <w:p w14:paraId="49A7956B">
      <w:pPr>
        <w:pageBreakBefore w:val="0"/>
        <w:widowControl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b/>
          <w:bCs/>
          <w:sz w:val="36"/>
          <w:szCs w:val="36"/>
          <w:lang w:val="en-US" w:eastAsia="zh-CN"/>
        </w:rPr>
      </w:pPr>
    </w:p>
    <w:p w14:paraId="53AF6C16">
      <w:pPr>
        <w:pageBreakBefore w:val="0"/>
        <w:widowControl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赛题指南</w:t>
      </w:r>
    </w:p>
    <w:p w14:paraId="1C04258E">
      <w:pPr>
        <w:pageBreakBefore w:val="0"/>
        <w:widowControl w:val="0"/>
        <w:kinsoku/>
        <w:wordWrap/>
        <w:overflowPunct/>
        <w:topLinePunct w:val="0"/>
        <w:autoSpaceDE/>
        <w:autoSpaceDN/>
        <w:bidi w:val="0"/>
        <w:adjustRightInd/>
        <w:spacing w:line="560" w:lineRule="exact"/>
        <w:ind w:firstLine="904" w:firstLineChars="300"/>
        <w:jc w:val="both"/>
        <w:textAlignment w:val="auto"/>
        <w:rPr>
          <w:rFonts w:hint="eastAsia" w:ascii="仿宋" w:hAnsi="仿宋" w:eastAsia="仿宋" w:cs="仿宋"/>
          <w:b/>
          <w:bCs/>
          <w:sz w:val="30"/>
          <w:szCs w:val="30"/>
          <w:lang w:val="en-US" w:eastAsia="zh-CN"/>
        </w:rPr>
      </w:pPr>
    </w:p>
    <w:p w14:paraId="7579BBDB">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sz w:val="36"/>
          <w:szCs w:val="36"/>
        </w:rPr>
      </w:pPr>
      <w:r>
        <w:rPr>
          <w:rFonts w:hint="eastAsia" w:ascii="仿宋" w:hAnsi="仿宋" w:eastAsia="仿宋" w:cs="仿宋"/>
          <w:b/>
          <w:bCs/>
          <w:sz w:val="36"/>
          <w:szCs w:val="36"/>
        </w:rPr>
        <w:t>赛道一：数据要素赋能企业高质量发展</w:t>
      </w:r>
    </w:p>
    <w:p w14:paraId="22AEDDC6">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赛题1：数智化技术引领产业创新发展</w:t>
      </w:r>
    </w:p>
    <w:p w14:paraId="2B98D2FC">
      <w:pPr>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深化基于高质量数据集和应用场景的数智化技术在行业领域推广应用。提升企业研发设计、生产制造、采销存运及智慧HSE等方面的数据应用，增强供应链韧性。基于行业AI模型的数据要素深度挖掘和应用，促进工艺优化和智造模式创新，驱动产业发展，提升应用价值。</w:t>
      </w:r>
    </w:p>
    <w:p w14:paraId="1DBFCEB9">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赛题2：数据要素赋能管控与运营业务提升</w:t>
      </w:r>
    </w:p>
    <w:p w14:paraId="41640D26">
      <w:pPr>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通过数据穿透式管理促进流程与数据流深度耦合，重构集团管控和产业链数据共生网络，提高企业在战略、投资、人力、财务、资产、营销、风控、研发与运维等方面的数据要素化、价值化水平和运营效率，推动企业实现管控模式和运营管理数字化转型，提升市场响应速度与竞争力，以数据价值驱动战略规划落地见效。</w:t>
      </w:r>
    </w:p>
    <w:p w14:paraId="26EC5EBB">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赛题</w:t>
      </w:r>
      <w:r>
        <w:rPr>
          <w:rFonts w:hint="eastAsia" w:ascii="仿宋" w:hAnsi="仿宋" w:eastAsia="仿宋" w:cs="仿宋"/>
          <w:b/>
          <w:sz w:val="30"/>
          <w:szCs w:val="30"/>
          <w:lang w:val="en-US" w:eastAsia="zh-CN"/>
        </w:rPr>
        <w:t>3：</w:t>
      </w:r>
      <w:r>
        <w:rPr>
          <w:rFonts w:hint="eastAsia" w:ascii="仿宋" w:hAnsi="仿宋" w:eastAsia="仿宋" w:cs="仿宋"/>
          <w:b/>
          <w:sz w:val="30"/>
          <w:szCs w:val="30"/>
        </w:rPr>
        <w:t>数据治理提升数据价值</w:t>
      </w:r>
    </w:p>
    <w:p w14:paraId="3397400B">
      <w:pPr>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b/>
          <w:sz w:val="30"/>
          <w:szCs w:val="30"/>
        </w:rPr>
      </w:pPr>
      <w:r>
        <w:rPr>
          <w:rFonts w:hint="eastAsia" w:ascii="仿宋" w:hAnsi="仿宋" w:eastAsia="仿宋" w:cs="仿宋"/>
          <w:sz w:val="30"/>
          <w:szCs w:val="30"/>
        </w:rPr>
        <w:t>保障企业数据全生命周期安全，建立健全数据分类分级、风险评估、监测预警、应急处置等数据安全制度机制，利用隐私计算技术、数据脱敏技术、数据防泄漏技术、数据水印技术等，健全完善企业数据安全保障框架，探索创新数据开发利用、数据运营交易、数据跨境流通等典型场景下数据安全保障解决方案和有效路径，做好企业敏感信息和个人隐私信息</w:t>
      </w:r>
      <w:r>
        <w:rPr>
          <w:rFonts w:hint="eastAsia" w:ascii="仿宋" w:hAnsi="仿宋" w:eastAsia="仿宋" w:cs="仿宋"/>
          <w:sz w:val="30"/>
          <w:szCs w:val="30"/>
          <w:lang w:val="en-US" w:eastAsia="zh-CN"/>
        </w:rPr>
        <w:t>泄露</w:t>
      </w:r>
      <w:r>
        <w:rPr>
          <w:rFonts w:hint="eastAsia" w:ascii="仿宋" w:hAnsi="仿宋" w:eastAsia="仿宋" w:cs="仿宋"/>
          <w:sz w:val="30"/>
          <w:szCs w:val="30"/>
        </w:rPr>
        <w:t>风险防范和应对，确保企业数据的安全性和合规性，提升企业数据流通利用安全保障能力。</w:t>
      </w:r>
    </w:p>
    <w:p w14:paraId="75C214B9">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赛题</w:t>
      </w:r>
      <w:r>
        <w:rPr>
          <w:rFonts w:hint="eastAsia" w:ascii="仿宋" w:hAnsi="仿宋" w:eastAsia="仿宋" w:cs="仿宋"/>
          <w:b/>
          <w:sz w:val="30"/>
          <w:szCs w:val="30"/>
          <w:lang w:val="en-US" w:eastAsia="zh-CN"/>
        </w:rPr>
        <w:t>4：</w:t>
      </w:r>
      <w:r>
        <w:rPr>
          <w:rFonts w:hint="eastAsia" w:ascii="仿宋" w:hAnsi="仿宋" w:eastAsia="仿宋" w:cs="仿宋"/>
          <w:b/>
          <w:sz w:val="30"/>
          <w:szCs w:val="30"/>
        </w:rPr>
        <w:t>数据要素加速能源企业数字转型</w:t>
      </w:r>
    </w:p>
    <w:p w14:paraId="1489AC3D">
      <w:pPr>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cs="仿宋"/>
          <w:b/>
          <w:bCs w:val="0"/>
          <w:sz w:val="36"/>
          <w:szCs w:val="36"/>
        </w:rPr>
      </w:pPr>
      <w:r>
        <w:rPr>
          <w:rFonts w:hint="eastAsia" w:ascii="仿宋" w:hAnsi="仿宋" w:eastAsia="仿宋" w:cs="仿宋"/>
          <w:b w:val="0"/>
          <w:bCs w:val="0"/>
          <w:sz w:val="30"/>
          <w:szCs w:val="30"/>
          <w:lang w:val="en-US" w:eastAsia="zh-CN"/>
        </w:rPr>
        <w:t>新型电力系统转型：聚焦电网安全、新能源消纳、源网荷储协同等，提出综合性解决方案，新能源发电出力预测，虚拟电厂智能调控等；石油化工全产业链构建数字孪生平台，区块链技术实现碳足迹穿透式溯源，监控石油管道运行；煤炭矿业勘探、开采等，利用5G技术、AI技术、北斗技术实现生产安全预警和智能开采；循环绿色低碳：聚焦大模型在循环绿色低碳中的应用，实现碳排放全生命周期跟踪，支撑能源绿色转型。</w:t>
      </w:r>
    </w:p>
    <w:p w14:paraId="18ED413D">
      <w:pPr>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b/>
          <w:bCs w:val="0"/>
          <w:sz w:val="36"/>
          <w:szCs w:val="36"/>
          <w:lang w:val="en-US" w:eastAsia="zh-CN"/>
        </w:rPr>
      </w:pPr>
    </w:p>
    <w:p w14:paraId="4DBDBF6E">
      <w:pPr>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b/>
          <w:bCs w:val="0"/>
          <w:sz w:val="36"/>
          <w:szCs w:val="36"/>
        </w:rPr>
      </w:pPr>
      <w:r>
        <w:rPr>
          <w:rFonts w:hint="eastAsia" w:ascii="仿宋" w:hAnsi="仿宋" w:eastAsia="仿宋" w:cs="仿宋"/>
          <w:b/>
          <w:bCs w:val="0"/>
          <w:sz w:val="36"/>
          <w:szCs w:val="36"/>
          <w:lang w:val="en-US" w:eastAsia="zh-CN"/>
        </w:rPr>
        <w:t>赛道二：</w:t>
      </w:r>
      <w:r>
        <w:rPr>
          <w:rFonts w:hint="eastAsia" w:ascii="仿宋" w:hAnsi="仿宋" w:eastAsia="仿宋" w:cs="仿宋"/>
          <w:b/>
          <w:bCs w:val="0"/>
          <w:sz w:val="36"/>
          <w:szCs w:val="36"/>
        </w:rPr>
        <w:t>数据要素赋能数字政府建设</w:t>
      </w:r>
    </w:p>
    <w:p w14:paraId="073E6B5A">
      <w:pPr>
        <w:pStyle w:val="3"/>
        <w:pageBreakBefore w:val="0"/>
        <w:widowControl w:val="0"/>
        <w:numPr>
          <w:ilvl w:val="0"/>
          <w:numId w:val="0"/>
        </w:numPr>
        <w:kinsoku/>
        <w:wordWrap/>
        <w:overflowPunct/>
        <w:topLinePunct w:val="0"/>
        <w:autoSpaceDE/>
        <w:autoSpaceDN/>
        <w:bidi w:val="0"/>
        <w:adjustRightInd/>
        <w:spacing w:after="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赛题5：</w:t>
      </w:r>
      <w:r>
        <w:rPr>
          <w:rFonts w:hint="eastAsia" w:ascii="仿宋" w:hAnsi="仿宋" w:eastAsia="仿宋" w:cs="仿宋"/>
          <w:b/>
          <w:bCs/>
          <w:sz w:val="30"/>
          <w:szCs w:val="30"/>
        </w:rPr>
        <w:t>推动行业精准监管</w:t>
      </w:r>
    </w:p>
    <w:p w14:paraId="00A8FE64">
      <w:pPr>
        <w:pStyle w:val="3"/>
        <w:pageBreakBefore w:val="0"/>
        <w:widowControl w:val="0"/>
        <w:kinsoku/>
        <w:wordWrap/>
        <w:overflowPunct/>
        <w:topLinePunct w:val="0"/>
        <w:autoSpaceDE/>
        <w:autoSpaceDN/>
        <w:bidi w:val="0"/>
        <w:adjustRightInd/>
        <w:spacing w:after="0" w:line="560" w:lineRule="exact"/>
        <w:ind w:firstLine="560"/>
        <w:textAlignment w:val="auto"/>
        <w:rPr>
          <w:rFonts w:hint="eastAsia" w:ascii="仿宋" w:hAnsi="仿宋" w:eastAsia="仿宋" w:cs="仿宋"/>
          <w:color w:val="0000FF"/>
          <w:sz w:val="30"/>
          <w:szCs w:val="30"/>
        </w:rPr>
      </w:pPr>
      <w:r>
        <w:rPr>
          <w:rFonts w:hint="eastAsia" w:ascii="仿宋" w:hAnsi="仿宋" w:eastAsia="仿宋" w:cs="仿宋"/>
          <w:sz w:val="30"/>
          <w:szCs w:val="30"/>
        </w:rPr>
        <w:t>以数据要素为支撑，构建 “动态监测-智能预警-精准执法” 的现代化政府监管体系。通过多源数据融合，整合跨部门、跨领域数据资源，建立标准化数据治理体系。运用大数据分析、人工智能算法，实现监管风险的精准识别与分级响应。构建跨部门联合执法数据共享通道，实现风险智能识别、动态信用评级与跨部门协同处置闭环，推动行业监管精准化、协同化与智能化。</w:t>
      </w:r>
    </w:p>
    <w:p w14:paraId="6E33F99F">
      <w:pPr>
        <w:pStyle w:val="3"/>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赛题6：</w:t>
      </w:r>
      <w:r>
        <w:rPr>
          <w:rFonts w:hint="eastAsia" w:ascii="仿宋" w:hAnsi="仿宋" w:eastAsia="仿宋" w:cs="仿宋"/>
          <w:b/>
          <w:bCs/>
          <w:sz w:val="30"/>
          <w:szCs w:val="30"/>
        </w:rPr>
        <w:t>促进社会高效治理</w:t>
      </w:r>
    </w:p>
    <w:p w14:paraId="5AFC4AE9">
      <w:pPr>
        <w:pStyle w:val="3"/>
        <w:pageBreakBefore w:val="0"/>
        <w:widowControl w:val="0"/>
        <w:kinsoku/>
        <w:wordWrap/>
        <w:overflowPunct/>
        <w:topLinePunct w:val="0"/>
        <w:autoSpaceDE/>
        <w:autoSpaceDN/>
        <w:bidi w:val="0"/>
        <w:adjustRightInd/>
        <w:spacing w:after="0" w:line="56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依托全域数据融通，提升社会治理的精细化、智能化水平。构建全域感知与智能决策网络，推动人、地、事、物等全维度数据融通，支撑城市规划建设与管理的精细化策略制定，提升社会治理精细化、智能化水平。整合时空地理、物联感知、规划管控等多维度数据，打造数字城市治理平台，在公共卫生事件响应、自然灾害防控、交通管理、基层治理等领域实现态势实时感知、风险智能研判与多部门协同处置。</w:t>
      </w:r>
    </w:p>
    <w:p w14:paraId="1BD2C5A8">
      <w:pPr>
        <w:pStyle w:val="3"/>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赛题7：</w:t>
      </w:r>
      <w:r>
        <w:rPr>
          <w:rFonts w:hint="eastAsia" w:ascii="仿宋" w:hAnsi="仿宋" w:eastAsia="仿宋" w:cs="仿宋"/>
          <w:b/>
          <w:bCs/>
          <w:sz w:val="30"/>
          <w:szCs w:val="30"/>
        </w:rPr>
        <w:t>提升公共服务质量</w:t>
      </w:r>
    </w:p>
    <w:p w14:paraId="7FF57EEA">
      <w:pPr>
        <w:pStyle w:val="3"/>
        <w:pageBreakBefore w:val="0"/>
        <w:widowControl w:val="0"/>
        <w:kinsoku/>
        <w:wordWrap/>
        <w:overflowPunct/>
        <w:topLinePunct w:val="0"/>
        <w:autoSpaceDE/>
        <w:autoSpaceDN/>
        <w:bidi w:val="0"/>
        <w:adjustRightInd/>
        <w:spacing w:after="0" w:line="56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以数据要素破解政务服务壁垒，增强公共服务的便捷性、公平性与普惠性。突出数据在优化公共服务供给、提升服务质量的应用。打通教育、医疗、社保等部门数据，构建民生数据资源池，推动政务大模型应用，深化区域协同治理。依托跨域数据流，破解企业注册、异地就医、社保互转等业务壁垒。通过数据分析精准匹配群众企业需求，建立公共服务资源智能匹配模型，推动服务供给从 “标准化” 向 “个性化” 升级，实现公共服务资源优化配置、服务模式创新，促进政务服务便捷性、公平性、普惠性。</w:t>
      </w:r>
    </w:p>
    <w:p w14:paraId="0812E2C1">
      <w:pPr>
        <w:pStyle w:val="3"/>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赛题8：</w:t>
      </w:r>
      <w:r>
        <w:rPr>
          <w:rFonts w:hint="eastAsia" w:ascii="仿宋" w:hAnsi="仿宋" w:eastAsia="仿宋" w:cs="仿宋"/>
          <w:b/>
          <w:bCs/>
          <w:sz w:val="30"/>
          <w:szCs w:val="30"/>
        </w:rPr>
        <w:t>培育数字经济发展动能</w:t>
      </w:r>
    </w:p>
    <w:p w14:paraId="0B2AF74F">
      <w:pPr>
        <w:pStyle w:val="3"/>
        <w:pageBreakBefore w:val="0"/>
        <w:widowControl w:val="0"/>
        <w:kinsoku/>
        <w:wordWrap/>
        <w:overflowPunct/>
        <w:topLinePunct w:val="0"/>
        <w:autoSpaceDE/>
        <w:autoSpaceDN/>
        <w:bidi w:val="0"/>
        <w:adjustRightInd/>
        <w:spacing w:after="0" w:line="56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探索公共数据开发利用的多元化路径，培育数据驱动的数字经济新生态。准确把握行业和企业发展需求，打造主动式、多层次创新服务场景，精准匹配公共数据资源，不断释放数字红利。聚焦公共数据开放利用和授权运营，推动公共数据与产业深度融合，形成具有创新性和高价值的应用场景，推动数字经济高质量发展。</w:t>
      </w:r>
    </w:p>
    <w:p w14:paraId="53B59816">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sz w:val="36"/>
          <w:szCs w:val="36"/>
        </w:rPr>
      </w:pPr>
    </w:p>
    <w:p w14:paraId="5A186A0A">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赛道</w:t>
      </w:r>
      <w:r>
        <w:rPr>
          <w:rFonts w:hint="eastAsia" w:ascii="仿宋" w:hAnsi="仿宋" w:eastAsia="仿宋" w:cs="仿宋"/>
          <w:b/>
          <w:bCs/>
          <w:sz w:val="36"/>
          <w:szCs w:val="36"/>
          <w:lang w:val="en-US" w:eastAsia="zh-CN"/>
        </w:rPr>
        <w:t>三</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数据要素赋能产业协同创新</w:t>
      </w:r>
    </w:p>
    <w:p w14:paraId="42E80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赛题9：人工智能行业及场景创新应用</w:t>
      </w:r>
    </w:p>
    <w:p w14:paraId="2C949F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人工智能技术与垂直行业的深度融合，鼓励参赛团队基于人工智能技术，结合具体行业场景痛点，设计具备创新性、可落地的解决方案。需围绕重要行业，探索AI在不同场景中的应用，强调技术集成性、场景适配性及算法可解释性，兼顾隐私保护与合规要求，重点考察方案的商业可行性与跨域协同潜力。</w:t>
      </w:r>
    </w:p>
    <w:p w14:paraId="729144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赛题10：行业数据空间驱动产业链智能协同优化</w:t>
      </w:r>
    </w:p>
    <w:p w14:paraId="651A00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构建行业数据空间，推动多环节数据融合与智能协同。建立安全可信的数据流通体系，通过多源异构数据融合建模，实现产业链供需匹配优化、资源动态调度及风险预警防控。重点考察数据治理机制创新、智能算法研发及跨域协同价值转化能力，鼓励产学研用结合形成可复制推广方案。优秀成果将获产业资源对接与场景试点支持，助力提升产业链韧性及数字化效能。</w:t>
      </w:r>
    </w:p>
    <w:p w14:paraId="627D2F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赛题11：打造工业数据空间赋能产业链上下游发展</w:t>
      </w:r>
    </w:p>
    <w:p w14:paraId="65F312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工业数据空间构建，通过打通设备、企业、产业链数据链路，创新数据驱动的供应链协同、产能共享、质量追溯等应用场景，提升产业链上下游资源配置效率，探索数据要素赋能工业数字化转型的可行路径，推动形成安全有序、协同高效的产业发展新生态。</w:t>
      </w:r>
    </w:p>
    <w:p w14:paraId="6BC912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赛题12：综合性数字赋能平台推动产业互联</w:t>
      </w:r>
    </w:p>
    <w:p w14:paraId="6163E69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支持行业龙头企业、第三方服务平台，及产业集群内相关企事业单位，整合、共享采购销售、仓储物流、生产制造、研发设计等全链条资源能力，推进产业链供应链上下游数据打通，围绕供需匹配、资源调度、决策支持、产融服务等关键场景，创新数据产品及融合应用，带动中小企业融通发展，推动产业转型升级。</w:t>
      </w:r>
    </w:p>
    <w:p w14:paraId="5D2E35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赛题13：优化全球资源要素配置加速产业出海</w:t>
      </w:r>
    </w:p>
    <w:p w14:paraId="69E86F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链接全球订单、原料、产能等资源，完善海外仓、展示选品中心、销售网络、区域服务中心等供应链基础设施布局，打通采、产、销、服、关、税等全链路数据节点，通过数据模型驱动订单协同、跨境物流、跨境营销、本地化运营、多市场合规风控等关键环节智能化提效，推动向全球制造、全球销售转变。</w:t>
      </w:r>
    </w:p>
    <w:p w14:paraId="55594F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赛题14：数据要素赋能医疗健康</w:t>
      </w:r>
    </w:p>
    <w:p w14:paraId="7CDA26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推动新一代信息技术与医疗健康产业深度融合，促进数据要素价值释放和医疗行业数智化转型。以</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医疗数据要素开发</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和</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人工智能技术创新</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为双核驱动，通过</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算法突破、场景验证、生态共建、资本护航</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的协同机制，构建</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基础研究-技术攻关-场景落地-产业融合</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的全链条创新体系。重点聚焦民生关切领域，遴选具有示范价值的数字化解决方案，加速数字医疗技术成果转化应用。</w:t>
      </w:r>
    </w:p>
    <w:p w14:paraId="54B5B7D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p>
    <w:p w14:paraId="0417E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赛道四：数据基础设施保障数据要素应用创新发展</w:t>
      </w:r>
    </w:p>
    <w:p w14:paraId="32516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赛题15：数据要素驱动的数字底座赋能全域数字化</w:t>
      </w:r>
    </w:p>
    <w:p w14:paraId="135CFE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基于数据要素加快推进创新城市级公共能力数字底座。强化数字底座共性能力，基于CIM基础平台，推动孪生城市数据资源共享，整合数字孪生引擎等公共技术能力，推动跨部门、跨层级数据资源共享与复用；构建智慧韧性城市治理场景，围绕城市生命线工程等应用场景建设完善CIM+应用场景，实现数字空间模拟、真实空间执行。完善城市一网统管体系，推动城市业务数据互认互联、跨部门系统互联互通治理、生态协同治理等领域区域协作。</w:t>
      </w:r>
    </w:p>
    <w:p w14:paraId="059CBE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赛题16：面向数据要素应用的数据标注创新</w:t>
      </w:r>
    </w:p>
    <w:p w14:paraId="630F9D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聚焦多模态自动化标注、大模型标注、4D标注及数据合成等</w:t>
      </w:r>
      <w:r>
        <w:rPr>
          <w:rFonts w:hint="eastAsia" w:ascii="仿宋" w:hAnsi="仿宋" w:eastAsia="仿宋" w:cs="仿宋"/>
          <w:sz w:val="30"/>
          <w:szCs w:val="30"/>
          <w:lang w:val="en-US" w:eastAsia="zh-Hans"/>
        </w:rPr>
        <w:t>关键</w:t>
      </w:r>
      <w:r>
        <w:rPr>
          <w:rFonts w:hint="eastAsia" w:ascii="仿宋" w:hAnsi="仿宋" w:eastAsia="仿宋" w:cs="仿宋"/>
          <w:sz w:val="30"/>
          <w:szCs w:val="30"/>
          <w:lang w:val="en-US" w:eastAsia="zh-CN"/>
        </w:rPr>
        <w:t>技术，探索在</w:t>
      </w:r>
      <w:r>
        <w:rPr>
          <w:rFonts w:hint="eastAsia" w:ascii="仿宋" w:hAnsi="仿宋" w:eastAsia="仿宋" w:cs="仿宋"/>
          <w:sz w:val="30"/>
          <w:szCs w:val="30"/>
          <w:lang w:val="en-US" w:eastAsia="zh-Hans"/>
        </w:rPr>
        <w:t>医疗、金融、教育</w:t>
      </w:r>
      <w:r>
        <w:rPr>
          <w:rFonts w:hint="eastAsia" w:ascii="仿宋" w:hAnsi="仿宋" w:eastAsia="仿宋" w:cs="仿宋"/>
          <w:sz w:val="30"/>
          <w:szCs w:val="30"/>
          <w:lang w:val="en-US" w:eastAsia="zh-CN"/>
        </w:rPr>
        <w:t>等</w:t>
      </w:r>
      <w:r>
        <w:rPr>
          <w:rFonts w:hint="eastAsia" w:ascii="仿宋" w:hAnsi="仿宋" w:eastAsia="仿宋" w:cs="仿宋"/>
          <w:sz w:val="30"/>
          <w:szCs w:val="30"/>
          <w:lang w:val="en-US" w:eastAsia="zh-Hans"/>
        </w:rPr>
        <w:t>应用场景下</w:t>
      </w:r>
      <w:r>
        <w:rPr>
          <w:rFonts w:hint="eastAsia" w:ascii="仿宋" w:hAnsi="仿宋" w:eastAsia="仿宋" w:cs="仿宋"/>
          <w:sz w:val="30"/>
          <w:szCs w:val="30"/>
          <w:lang w:val="en-US" w:eastAsia="zh-CN"/>
        </w:rPr>
        <w:t>标注工具链与产业场景的深度</w:t>
      </w:r>
      <w:r>
        <w:rPr>
          <w:rFonts w:hint="eastAsia" w:ascii="仿宋" w:hAnsi="仿宋" w:eastAsia="仿宋" w:cs="仿宋"/>
          <w:sz w:val="30"/>
          <w:szCs w:val="30"/>
          <w:lang w:val="en-US" w:eastAsia="zh-Hans"/>
        </w:rPr>
        <w:t>融合</w:t>
      </w:r>
      <w:r>
        <w:rPr>
          <w:rFonts w:hint="eastAsia" w:ascii="仿宋" w:hAnsi="仿宋" w:eastAsia="仿宋" w:cs="仿宋"/>
          <w:sz w:val="30"/>
          <w:szCs w:val="30"/>
          <w:lang w:val="en-US" w:eastAsia="zh-CN"/>
        </w:rPr>
        <w:t>。通过校企合作与产学研</w:t>
      </w:r>
      <w:r>
        <w:rPr>
          <w:rFonts w:hint="eastAsia" w:ascii="仿宋" w:hAnsi="仿宋" w:eastAsia="仿宋" w:cs="仿宋"/>
          <w:sz w:val="30"/>
          <w:szCs w:val="30"/>
          <w:lang w:val="en-US" w:eastAsia="zh-Hans"/>
        </w:rPr>
        <w:t>用等方式</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探索</w:t>
      </w:r>
      <w:r>
        <w:rPr>
          <w:rFonts w:hint="eastAsia" w:ascii="仿宋" w:hAnsi="仿宋" w:eastAsia="仿宋" w:cs="仿宋"/>
          <w:sz w:val="30"/>
          <w:szCs w:val="30"/>
          <w:lang w:val="en-US" w:eastAsia="zh-CN"/>
        </w:rPr>
        <w:t>产教融合</w:t>
      </w:r>
      <w:r>
        <w:rPr>
          <w:rFonts w:hint="eastAsia" w:ascii="仿宋" w:hAnsi="仿宋" w:eastAsia="仿宋" w:cs="仿宋"/>
          <w:sz w:val="30"/>
          <w:szCs w:val="30"/>
          <w:lang w:val="en-US" w:eastAsia="zh-Hans"/>
        </w:rPr>
        <w:t>新机制，</w:t>
      </w:r>
      <w:r>
        <w:rPr>
          <w:rFonts w:hint="eastAsia" w:ascii="仿宋" w:hAnsi="仿宋" w:eastAsia="仿宋" w:cs="仿宋"/>
          <w:sz w:val="30"/>
          <w:szCs w:val="30"/>
          <w:lang w:val="en-US" w:eastAsia="zh-CN"/>
        </w:rPr>
        <w:t>培养复合型人才</w:t>
      </w:r>
      <w:r>
        <w:rPr>
          <w:rFonts w:hint="eastAsia" w:ascii="仿宋" w:hAnsi="仿宋" w:eastAsia="仿宋" w:cs="仿宋"/>
          <w:sz w:val="30"/>
          <w:szCs w:val="30"/>
          <w:lang w:val="en-US" w:eastAsia="zh-Hans"/>
        </w:rPr>
        <w:t>。加强</w:t>
      </w:r>
      <w:r>
        <w:rPr>
          <w:rFonts w:hint="eastAsia" w:ascii="仿宋" w:hAnsi="仿宋" w:eastAsia="仿宋" w:cs="仿宋"/>
          <w:sz w:val="30"/>
          <w:szCs w:val="30"/>
          <w:lang w:val="en-US" w:eastAsia="zh-CN"/>
        </w:rPr>
        <w:t>跨领域协作共享，整合标注工具、算法模型及专家资源，构建开放生态。</w:t>
      </w:r>
      <w:r>
        <w:rPr>
          <w:rFonts w:hint="eastAsia" w:ascii="仿宋" w:hAnsi="仿宋" w:eastAsia="仿宋" w:cs="仿宋"/>
          <w:sz w:val="30"/>
          <w:szCs w:val="30"/>
          <w:lang w:val="en-US" w:eastAsia="zh-Hans"/>
        </w:rPr>
        <w:t>推动</w:t>
      </w:r>
      <w:r>
        <w:rPr>
          <w:rFonts w:hint="eastAsia" w:ascii="仿宋" w:hAnsi="仿宋" w:eastAsia="仿宋" w:cs="仿宋"/>
          <w:sz w:val="30"/>
          <w:szCs w:val="30"/>
          <w:lang w:val="en-US" w:eastAsia="zh-CN"/>
        </w:rPr>
        <w:t>高质量标注技术赋能智慧城市、智能制造等领域的算法迭代，降低AI落地门槛，加速构建高质量数据集，为人工智能技术的可持续发展提供底层支撑。</w:t>
      </w:r>
    </w:p>
    <w:p w14:paraId="7FF4C7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赛题17：数据安全护航数据要素高效流通</w:t>
      </w:r>
    </w:p>
    <w:p w14:paraId="4AEE6E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统筹发展和安全，面向动态变化的数据安全风险和防护需求，建立健全数据安全管理和技术保障体系，强化全周期全链条安全保护，推进技术研发与产业化，创新企业、行业、城市等可信数据空间安全保障解决方案，完善数据安全基础设施，打造多场景数据安全保障能力，有效促进数据要素安全、可信、合规、高效流通，为数字中国保驾护航。</w:t>
      </w:r>
    </w:p>
    <w:p w14:paraId="21914A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赛题18：低空数据基础设施与智能网联管控技术</w:t>
      </w:r>
    </w:p>
    <w:p w14:paraId="09BBFC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低空空域数字化基础设施生态构建与智能网联管控技术，针对通用机场、垂直起降点、空中空域及航路等基础设施和低空通信、导航、监视、气象、安全、反制、低空数字孪生底座七位一体低空飞行配套设施网络建设，包括5G通信网、5G-A通感网、ADS-B、报文解析基站物联网射频、卫星融合通信、气象雷达、侦测反制设备、低空数字底座等网络矩阵，增强低空感知、通信传输、数据计算、气象预警和低空管控能力，形成“通+导+感+智+算+控+安”的低空新型基础设施和智能网联管控数字底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B29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0D18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50D18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F7D5A"/>
    <w:rsid w:val="089D18A5"/>
    <w:rsid w:val="1B324C57"/>
    <w:rsid w:val="26AD77E2"/>
    <w:rsid w:val="344D2867"/>
    <w:rsid w:val="40F8226D"/>
    <w:rsid w:val="41AF2209"/>
    <w:rsid w:val="42E0756C"/>
    <w:rsid w:val="44000AFA"/>
    <w:rsid w:val="4931391E"/>
    <w:rsid w:val="58005114"/>
    <w:rsid w:val="5B3F2ECE"/>
    <w:rsid w:val="5B4F7685"/>
    <w:rsid w:val="5D4F4FDC"/>
    <w:rsid w:val="61A23C3A"/>
    <w:rsid w:val="63A7308B"/>
    <w:rsid w:val="678C03E8"/>
    <w:rsid w:val="6F5318B9"/>
    <w:rsid w:val="74397673"/>
    <w:rsid w:val="7B0F7D5A"/>
    <w:rsid w:val="7C70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88" w:lineRule="exact"/>
      <w:outlineLvl w:val="0"/>
    </w:pPr>
    <w:rPr>
      <w:rFonts w:eastAsia="方正黑体_GBK" w:asciiTheme="minorHAnsi" w:hAnsiTheme="minorHAnsi"/>
      <w:b/>
      <w:kern w:val="44"/>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3372</Words>
  <Characters>3402</Characters>
  <Lines>0</Lines>
  <Paragraphs>0</Paragraphs>
  <TotalTime>15</TotalTime>
  <ScaleCrop>false</ScaleCrop>
  <LinksUpToDate>false</LinksUpToDate>
  <CharactersWithSpaces>3408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2025-04-22T11:16:00Z</dcterms:created>
  <dc:creator>偷得浮生半日闲</dc:creator>
  <cp:lastModifiedBy>中国信息协会曹雪琦</cp:lastModifiedBy>
  <dcterms:modified xsi:type="dcterms:W3CDTF">2025-05-14T04:12:12Z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F13A31F8B66549558084038CE929BC5C_13</vt:lpwstr>
  </property>
  <property fmtid="{D5CDD505-2E9C-101B-9397-08002B2CF9AE}" pid="4" name="KSOTemplateDocerSaveRecord">
    <vt:lpwstr>eyJoZGlkIjoiYmFkNDY2NmQ4NDI4MjMwN2Q3NTRhMDY2Njk0YzZkYzgiLCJ1c2VySWQiOiIzNDcwNjgxNjQifQ==</vt:lpwstr>
  </property>
</Properties>
</file>